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065"/>
        <w:gridCol w:w="6945"/>
      </w:tblGrid>
      <w:tr w:rsidR="004E39C8" w14:paraId="1B6E81AC" w14:textId="77777777" w:rsidTr="00BB2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vAlign w:val="center"/>
          </w:tcPr>
          <w:p w14:paraId="1B6E81AB" w14:textId="77777777" w:rsidR="004E39C8" w:rsidRDefault="004E39C8" w:rsidP="00BB2233">
            <w:pPr>
              <w:jc w:val="center"/>
            </w:pPr>
            <w:r>
              <w:t>Unit 2 Marketing Key Words</w:t>
            </w:r>
          </w:p>
        </w:tc>
      </w:tr>
      <w:tr w:rsidR="004E39C8" w14:paraId="1B6E81AF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AD" w14:textId="77777777" w:rsidR="004E39C8" w:rsidRDefault="004E39C8" w:rsidP="00BB2233">
            <w:pPr>
              <w:jc w:val="center"/>
            </w:pPr>
            <w:r>
              <w:t>Advertising Campaign</w:t>
            </w:r>
          </w:p>
        </w:tc>
        <w:tc>
          <w:tcPr>
            <w:tcW w:w="6945" w:type="dxa"/>
            <w:tcBorders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AE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series of advertisements, often using different advertising media</w:t>
            </w:r>
          </w:p>
        </w:tc>
      </w:tr>
      <w:tr w:rsidR="004E39C8" w14:paraId="1B6E81B2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B0" w14:textId="77777777" w:rsidR="004E39C8" w:rsidRDefault="004E39C8" w:rsidP="00BB2233">
            <w:pPr>
              <w:jc w:val="center"/>
            </w:pPr>
            <w:r>
              <w:t>Advertising Media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B1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methods by which a business can advertise a product. Includes newspapers, TV and radio</w:t>
            </w:r>
          </w:p>
        </w:tc>
      </w:tr>
      <w:tr w:rsidR="004E39C8" w14:paraId="1B6E81B5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3" w14:textId="77777777" w:rsidR="004E39C8" w:rsidRDefault="004E39C8" w:rsidP="00BB2233">
            <w:pPr>
              <w:jc w:val="center"/>
            </w:pPr>
            <w:r>
              <w:t>Census Data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4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Data collected by the Government every 10 years, questioning the entire population on their income, occupation etc. </w:t>
            </w:r>
          </w:p>
        </w:tc>
      </w:tr>
      <w:tr w:rsidR="004E39C8" w14:paraId="1B6E81B8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6" w14:textId="77777777" w:rsidR="004E39C8" w:rsidRDefault="004E39C8" w:rsidP="00BB2233">
            <w:pPr>
              <w:jc w:val="center"/>
            </w:pPr>
            <w:r>
              <w:t>Competitor Pricing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7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a price is set based on prices charged by competitor businesses for a similar product</w:t>
            </w:r>
          </w:p>
        </w:tc>
      </w:tr>
      <w:tr w:rsidR="004E39C8" w14:paraId="1B6E81BB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9" w14:textId="77777777" w:rsidR="004E39C8" w:rsidRDefault="004E39C8" w:rsidP="00BB2233">
            <w:pPr>
              <w:jc w:val="center"/>
            </w:pPr>
            <w:r>
              <w:t>Cost-Plus Pricing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A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pricing method that adds a percentage of profit to the total costs of making a product. This gives the selling price.</w:t>
            </w:r>
          </w:p>
        </w:tc>
      </w:tr>
      <w:tr w:rsidR="004E39C8" w14:paraId="1B6E81BE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C" w14:textId="77777777" w:rsidR="004E39C8" w:rsidRDefault="004E39C8" w:rsidP="00BB2233">
            <w:pPr>
              <w:jc w:val="center"/>
            </w:pPr>
            <w:r>
              <w:t>Decline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D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sales are falling as the product or service is seen by customers as being old and they switch to newer products and services</w:t>
            </w:r>
          </w:p>
        </w:tc>
      </w:tr>
      <w:tr w:rsidR="004E39C8" w14:paraId="1B6E81C1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BF" w14:textId="77777777" w:rsidR="004E39C8" w:rsidRDefault="004E39C8" w:rsidP="00BB2233">
            <w:pPr>
              <w:jc w:val="center"/>
            </w:pPr>
            <w:r>
              <w:t>Design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0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important element in a number of different products, especially where style and technology work together</w:t>
            </w:r>
          </w:p>
        </w:tc>
      </w:tr>
      <w:tr w:rsidR="004E39C8" w14:paraId="1B6E81C4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2" w14:textId="77777777" w:rsidR="004E39C8" w:rsidRDefault="004E39C8" w:rsidP="00BB2233">
            <w:pPr>
              <w:jc w:val="center"/>
            </w:pPr>
            <w:r>
              <w:t>Digital Distribution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3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distribution of goods and services digitally by downloading from a website</w:t>
            </w:r>
          </w:p>
        </w:tc>
      </w:tr>
      <w:tr w:rsidR="004E39C8" w14:paraId="1B6E81C7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5" w14:textId="77777777" w:rsidR="004E39C8" w:rsidRDefault="004E39C8" w:rsidP="00BB2233">
            <w:pPr>
              <w:jc w:val="center"/>
            </w:pPr>
            <w:r>
              <w:t>Focus Groups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6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Selected small groups of customers who give their opinion on products</w:t>
            </w:r>
          </w:p>
        </w:tc>
      </w:tr>
      <w:tr w:rsidR="004E39C8" w14:paraId="1B6E81CA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8" w14:textId="77777777" w:rsidR="004E39C8" w:rsidRDefault="004E39C8" w:rsidP="00BB2233">
            <w:pPr>
              <w:jc w:val="center"/>
            </w:pPr>
            <w:r>
              <w:t>Growth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9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sales are growing strongly as the new product or service becomes known</w:t>
            </w:r>
          </w:p>
        </w:tc>
      </w:tr>
      <w:tr w:rsidR="004E39C8" w14:paraId="1B6E81CD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B" w14:textId="77777777" w:rsidR="004E39C8" w:rsidRDefault="004E39C8" w:rsidP="00BB2233">
            <w:pPr>
              <w:jc w:val="center"/>
            </w:pPr>
            <w:r>
              <w:t>Innovation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C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improvement on an original idea, which will often involve using new processes. It is closely linked to design, where new ideas can be used in a product due to changes in design</w:t>
            </w:r>
          </w:p>
        </w:tc>
      </w:tr>
      <w:tr w:rsidR="004E39C8" w14:paraId="1B6E81D0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E" w14:textId="77777777" w:rsidR="004E39C8" w:rsidRDefault="004E39C8" w:rsidP="00BB2233">
            <w:pPr>
              <w:jc w:val="center"/>
            </w:pPr>
            <w:r>
              <w:t>Internal Data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CF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already within a business based on past performance</w:t>
            </w:r>
          </w:p>
        </w:tc>
      </w:tr>
      <w:tr w:rsidR="004E39C8" w14:paraId="1B6E81D3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1" w14:textId="77777777" w:rsidR="004E39C8" w:rsidRDefault="004E39C8" w:rsidP="00BB2233">
            <w:pPr>
              <w:jc w:val="center"/>
            </w:pPr>
            <w:r>
              <w:t>Interview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2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question sheet filled in by the person conducting the interview</w:t>
            </w:r>
          </w:p>
        </w:tc>
      </w:tr>
      <w:tr w:rsidR="004E39C8" w14:paraId="1B6E81D6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4" w14:textId="77777777" w:rsidR="004E39C8" w:rsidRDefault="004E39C8" w:rsidP="00BB2233">
            <w:pPr>
              <w:jc w:val="center"/>
            </w:pPr>
            <w:r>
              <w:t>Introduction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5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a product or service is first on sale</w:t>
            </w:r>
          </w:p>
        </w:tc>
      </w:tr>
      <w:tr w:rsidR="004E39C8" w14:paraId="1B6E81D9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7" w14:textId="77777777" w:rsidR="004E39C8" w:rsidRDefault="004E39C8" w:rsidP="00BB2233">
            <w:pPr>
              <w:jc w:val="center"/>
            </w:pPr>
            <w:r>
              <w:t>Invention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8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introduction of a totally new product or feature</w:t>
            </w:r>
          </w:p>
        </w:tc>
      </w:tr>
      <w:tr w:rsidR="004E39C8" w14:paraId="1B6E81DC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A" w14:textId="77777777" w:rsidR="004E39C8" w:rsidRDefault="004E39C8" w:rsidP="00BB2233">
            <w:pPr>
              <w:jc w:val="center"/>
            </w:pPr>
            <w:r>
              <w:lastRenderedPageBreak/>
              <w:t>Marketing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B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Finding the needs of consumers and demonstrating how a business fulfils those needs in a way that increases sales</w:t>
            </w:r>
          </w:p>
        </w:tc>
      </w:tr>
      <w:tr w:rsidR="004E39C8" w14:paraId="1B6E81DF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D" w14:textId="77777777" w:rsidR="004E39C8" w:rsidRDefault="004E39C8" w:rsidP="00BB2233">
            <w:pPr>
              <w:jc w:val="center"/>
            </w:pPr>
            <w:r>
              <w:t>Market Data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DE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 that help marketing decisions. It includes data on such things as market shares, changes in demand and the effect of promotions</w:t>
            </w:r>
          </w:p>
        </w:tc>
      </w:tr>
      <w:tr w:rsidR="004E39C8" w14:paraId="1B6E81E2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0" w14:textId="77777777" w:rsidR="004E39C8" w:rsidRDefault="004E39C8" w:rsidP="00BB2233">
            <w:pPr>
              <w:jc w:val="center"/>
            </w:pPr>
            <w:r>
              <w:t>Market Research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1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collection of data on consumer habits to help decision-making in marketing</w:t>
            </w:r>
          </w:p>
        </w:tc>
      </w:tr>
      <w:tr w:rsidR="004E39C8" w14:paraId="1B6E81E5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3" w14:textId="77777777" w:rsidR="004E39C8" w:rsidRDefault="004E39C8" w:rsidP="00BB2233">
            <w:pPr>
              <w:jc w:val="center"/>
            </w:pPr>
            <w:r>
              <w:t>Market Segmentation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4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Splitting the market for a product into different parts, or segments</w:t>
            </w:r>
          </w:p>
        </w:tc>
      </w:tr>
      <w:tr w:rsidR="004E39C8" w14:paraId="1B6E81E8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6" w14:textId="77777777" w:rsidR="004E39C8" w:rsidRDefault="004E39C8" w:rsidP="00BB2233">
            <w:pPr>
              <w:jc w:val="center"/>
            </w:pPr>
            <w:r>
              <w:t>Market Share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7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percentage of total sales of a product that a business has made. If a business sells 20,000 products and the total market for that product is 50,000, then the business has a market share of 40%</w:t>
            </w:r>
          </w:p>
        </w:tc>
      </w:tr>
      <w:tr w:rsidR="004E39C8" w14:paraId="1B6E81EB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9" w14:textId="77777777" w:rsidR="004E39C8" w:rsidRDefault="004E39C8" w:rsidP="00BB2233">
            <w:pPr>
              <w:jc w:val="center"/>
            </w:pPr>
            <w:r>
              <w:t>Maturity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A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sales are at their highest level</w:t>
            </w:r>
          </w:p>
        </w:tc>
      </w:tr>
      <w:tr w:rsidR="004E39C8" w14:paraId="1B6E81EE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C" w14:textId="77777777" w:rsidR="004E39C8" w:rsidRDefault="004E39C8" w:rsidP="00BB2233">
            <w:pPr>
              <w:jc w:val="center"/>
            </w:pPr>
            <w:r>
              <w:t>P’s of Marketing Mix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1ED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Price, Product, Promotion and Place</w:t>
            </w:r>
          </w:p>
        </w:tc>
      </w:tr>
      <w:tr w:rsidR="004E39C8" w14:paraId="1B6E81F1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EF" w14:textId="77777777" w:rsidR="004E39C8" w:rsidRDefault="004E39C8" w:rsidP="00BB2233">
            <w:pPr>
              <w:jc w:val="center"/>
            </w:pPr>
            <w:r>
              <w:t>Penetration Pricing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0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a price is set lower than the competitor businesses. Often used by new businesses to break into a market. This should only be seen as a short-term strategy</w:t>
            </w:r>
          </w:p>
        </w:tc>
      </w:tr>
      <w:tr w:rsidR="004E39C8" w14:paraId="1B6E81F4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2" w14:textId="77777777" w:rsidR="004E39C8" w:rsidRDefault="004E39C8" w:rsidP="00BB2233">
            <w:pPr>
              <w:jc w:val="center"/>
            </w:pPr>
            <w:r>
              <w:t>Physical Distribution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3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distribution of goods using a physical presence such as a shop or office</w:t>
            </w:r>
          </w:p>
        </w:tc>
      </w:tr>
      <w:tr w:rsidR="004E39C8" w14:paraId="1B6E81F7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5" w14:textId="77777777" w:rsidR="004E39C8" w:rsidRDefault="004E39C8" w:rsidP="00BB2233">
            <w:pPr>
              <w:jc w:val="center"/>
            </w:pPr>
            <w:r>
              <w:t>Point of Sale Promotions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6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Includes price reductions, loss leaders, competitions and free samples</w:t>
            </w:r>
          </w:p>
        </w:tc>
      </w:tr>
      <w:tr w:rsidR="004E39C8" w14:paraId="1B6E81FA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8" w14:textId="77777777" w:rsidR="004E39C8" w:rsidRDefault="004E39C8" w:rsidP="00BB2233">
            <w:pPr>
              <w:jc w:val="center"/>
            </w:pPr>
            <w:r>
              <w:t>Primary Research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9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collected first-hand, often in the form of surveys. Sometimes referred to as field research</w:t>
            </w:r>
          </w:p>
        </w:tc>
      </w:tr>
      <w:tr w:rsidR="004E39C8" w14:paraId="1B6E81FD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B" w14:textId="77777777" w:rsidR="004E39C8" w:rsidRDefault="004E39C8" w:rsidP="00BB2233">
            <w:pPr>
              <w:jc w:val="center"/>
            </w:pPr>
            <w:r>
              <w:t>Product Life Cycle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C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life of a product, usually shown as a graph divided up into four stages: introduction; growth; maturity; and decline</w:t>
            </w:r>
          </w:p>
        </w:tc>
      </w:tr>
      <w:tr w:rsidR="004E39C8" w14:paraId="1B6E8200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E" w14:textId="77777777" w:rsidR="004E39C8" w:rsidRDefault="004E39C8" w:rsidP="00BB2233">
            <w:pPr>
              <w:jc w:val="center"/>
            </w:pPr>
            <w:r>
              <w:t>Promotional Pricing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1FF" w14:textId="77777777" w:rsidR="004E39C8" w:rsidRDefault="004E39C8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prices are reduced to give products a boost or to sell off old stock. Most commonly seen as sales in shops</w:t>
            </w:r>
          </w:p>
        </w:tc>
      </w:tr>
      <w:tr w:rsidR="004E39C8" w14:paraId="1B6E8203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201" w14:textId="77777777" w:rsidR="004E39C8" w:rsidRDefault="004E39C8" w:rsidP="00BB2233">
            <w:pPr>
              <w:jc w:val="center"/>
            </w:pPr>
            <w:r>
              <w:t>Qualitative Data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202" w14:textId="77777777" w:rsidR="004E39C8" w:rsidRDefault="004E39C8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based on opinions of those being asked</w:t>
            </w:r>
          </w:p>
        </w:tc>
      </w:tr>
      <w:tr w:rsidR="004E39C8" w14:paraId="1B6E8206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4" w14:textId="77777777" w:rsidR="004E39C8" w:rsidRDefault="004E39C8" w:rsidP="004E39C8">
            <w:pPr>
              <w:jc w:val="center"/>
            </w:pPr>
            <w:r>
              <w:t>Quantitative Data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5" w14:textId="77777777" w:rsidR="004E39C8" w:rsidRDefault="004E39C8" w:rsidP="004E3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collected that is based on facts or numbers, usually easier to analyse than qualitative data</w:t>
            </w:r>
          </w:p>
        </w:tc>
      </w:tr>
      <w:tr w:rsidR="004E39C8" w14:paraId="1B6E8209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7" w14:textId="77777777" w:rsidR="004E39C8" w:rsidRDefault="004E39C8" w:rsidP="004E39C8">
            <w:pPr>
              <w:jc w:val="center"/>
            </w:pPr>
            <w:r>
              <w:lastRenderedPageBreak/>
              <w:t>Questionnaire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8" w14:textId="77777777" w:rsidR="004E39C8" w:rsidRDefault="004E39C8" w:rsidP="004E3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question sheet filled in by the consumer</w:t>
            </w:r>
          </w:p>
        </w:tc>
      </w:tr>
      <w:tr w:rsidR="004E39C8" w14:paraId="1B6E820C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A" w14:textId="77777777" w:rsidR="004E39C8" w:rsidRDefault="004E39C8" w:rsidP="004E39C8">
            <w:pPr>
              <w:jc w:val="center"/>
            </w:pPr>
            <w:r>
              <w:t>Research and Development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B" w14:textId="77777777" w:rsidR="004E39C8" w:rsidRDefault="004E39C8" w:rsidP="004E3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help introduce both new and existing products. The research may be testing products in a laboratory or conducting market research by interviewing customers</w:t>
            </w:r>
          </w:p>
        </w:tc>
      </w:tr>
      <w:tr w:rsidR="004E39C8" w14:paraId="1B6E820F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D" w14:textId="77777777" w:rsidR="004E39C8" w:rsidRDefault="004E39C8" w:rsidP="004E39C8">
            <w:pPr>
              <w:jc w:val="center"/>
            </w:pPr>
            <w:r>
              <w:t>Secondary Research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0E" w14:textId="77777777" w:rsidR="004E39C8" w:rsidRDefault="004E39C8" w:rsidP="004E3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collection of data using research or information provided by others, such as magazines, journals and the internet. Often called desk research</w:t>
            </w:r>
          </w:p>
        </w:tc>
      </w:tr>
      <w:tr w:rsidR="004E39C8" w14:paraId="1B6E8212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10" w14:textId="77777777" w:rsidR="004E39C8" w:rsidRDefault="004E39C8" w:rsidP="004E39C8">
            <w:pPr>
              <w:jc w:val="center"/>
            </w:pPr>
            <w:r>
              <w:t>Skimming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11" w14:textId="77777777" w:rsidR="004E39C8" w:rsidRDefault="004E39C8" w:rsidP="004E3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a new product is more advanced than that of competitors; a price is set high as some customers are willing to pay higher prices to own the newest technology.</w:t>
            </w:r>
          </w:p>
        </w:tc>
      </w:tr>
      <w:tr w:rsidR="004E39C8" w14:paraId="1B6E8215" w14:textId="77777777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13" w14:textId="77777777" w:rsidR="004E39C8" w:rsidRDefault="004E39C8" w:rsidP="004E39C8">
            <w:pPr>
              <w:jc w:val="center"/>
            </w:pPr>
            <w:r>
              <w:t>Target Market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14:paraId="1B6E8214" w14:textId="77777777" w:rsidR="004E39C8" w:rsidRDefault="004E39C8" w:rsidP="004E3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group of customers to whom a business aims to sell its products. The target market may be other businesses as well as consumers</w:t>
            </w:r>
          </w:p>
        </w:tc>
      </w:tr>
      <w:tr w:rsidR="004E39C8" w14:paraId="1B6E8218" w14:textId="77777777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216" w14:textId="77777777" w:rsidR="004E39C8" w:rsidRDefault="004E39C8" w:rsidP="004E39C8">
            <w:pPr>
              <w:jc w:val="center"/>
            </w:pPr>
            <w:r>
              <w:t>Trials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B6E8217" w14:textId="77777777" w:rsidR="004E39C8" w:rsidRDefault="004E39C8" w:rsidP="004E3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test whether customers will buy a product</w:t>
            </w:r>
          </w:p>
        </w:tc>
      </w:tr>
    </w:tbl>
    <w:p w14:paraId="1B6E8219" w14:textId="77777777" w:rsidR="001C3A1B" w:rsidRDefault="001C3A1B"/>
    <w:sectPr w:rsidR="00372C20" w:rsidSect="002A57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51"/>
    <w:rsid w:val="002A5712"/>
    <w:rsid w:val="003D4D51"/>
    <w:rsid w:val="004E39C8"/>
    <w:rsid w:val="00590B63"/>
    <w:rsid w:val="009205E6"/>
    <w:rsid w:val="00937577"/>
    <w:rsid w:val="00D5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81AB"/>
  <w15:chartTrackingRefBased/>
  <w15:docId w15:val="{EDBC035C-B728-1C48-9C9E-723CC95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3D4D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Mrs M Marway</cp:lastModifiedBy>
  <cp:revision>2</cp:revision>
  <dcterms:created xsi:type="dcterms:W3CDTF">2025-11-24T12:23:00Z</dcterms:created>
  <dcterms:modified xsi:type="dcterms:W3CDTF">2025-11-24T12:23:00Z</dcterms:modified>
</cp:coreProperties>
</file>